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D7A81" w14:textId="77777777" w:rsidR="00985A4B" w:rsidRDefault="00985A4B" w:rsidP="005A60A5">
      <w:pPr>
        <w:rPr>
          <w:lang w:val="en-US"/>
        </w:rPr>
      </w:pPr>
      <w:bookmarkStart w:id="0" w:name="_GoBack"/>
      <w:bookmarkEnd w:id="0"/>
    </w:p>
    <w:p w14:paraId="050F8C62" w14:textId="77777777" w:rsidR="00F657C4" w:rsidRDefault="00F657C4" w:rsidP="005A60A5">
      <w:pPr>
        <w:rPr>
          <w:lang w:val="en-US"/>
        </w:rPr>
      </w:pPr>
    </w:p>
    <w:p w14:paraId="40892F6B" w14:textId="77777777" w:rsidR="00F657C4" w:rsidRDefault="00F657C4" w:rsidP="005A60A5">
      <w:pPr>
        <w:rPr>
          <w:lang w:val="en-US"/>
        </w:rPr>
      </w:pPr>
    </w:p>
    <w:p w14:paraId="69ECEEF7" w14:textId="77777777" w:rsidR="00F657C4" w:rsidRDefault="00F657C4" w:rsidP="005A60A5">
      <w:pPr>
        <w:rPr>
          <w:lang w:val="en-US"/>
        </w:rPr>
      </w:pPr>
    </w:p>
    <w:p w14:paraId="4198646E" w14:textId="77777777" w:rsidR="00F657C4" w:rsidRDefault="00F657C4" w:rsidP="005A60A5">
      <w:pPr>
        <w:rPr>
          <w:lang w:val="en-US"/>
        </w:rPr>
      </w:pPr>
    </w:p>
    <w:p w14:paraId="0E519C9E" w14:textId="77777777" w:rsidR="00F657C4" w:rsidRDefault="00F657C4" w:rsidP="005A60A5">
      <w:pPr>
        <w:rPr>
          <w:lang w:val="en-US"/>
        </w:rPr>
      </w:pPr>
    </w:p>
    <w:p w14:paraId="6BF205E7" w14:textId="77777777" w:rsidR="00F657C4" w:rsidRDefault="00F657C4" w:rsidP="005A60A5">
      <w:pPr>
        <w:rPr>
          <w:lang w:val="en-US"/>
        </w:rPr>
      </w:pPr>
    </w:p>
    <w:p w14:paraId="3ED96B13" w14:textId="77777777" w:rsidR="00F657C4" w:rsidRDefault="00F657C4" w:rsidP="005A60A5">
      <w:pPr>
        <w:rPr>
          <w:lang w:val="en-US"/>
        </w:rPr>
      </w:pPr>
    </w:p>
    <w:p w14:paraId="35ED90FE" w14:textId="77777777" w:rsidR="00F657C4" w:rsidRDefault="00F657C4" w:rsidP="005A60A5">
      <w:pPr>
        <w:rPr>
          <w:lang w:val="en-US"/>
        </w:rPr>
      </w:pPr>
    </w:p>
    <w:p w14:paraId="35F71E26" w14:textId="3238E542" w:rsidR="00F657C4" w:rsidRDefault="00F657C4" w:rsidP="00F657C4">
      <w:pPr>
        <w:pStyle w:val="Heading1"/>
        <w:jc w:val="center"/>
      </w:pPr>
      <w:r>
        <w:t>ACTUARIAL ASSOCIATION OF EUROPE</w:t>
      </w:r>
    </w:p>
    <w:p w14:paraId="644C625B" w14:textId="77777777" w:rsidR="00F657C4" w:rsidRDefault="00F657C4" w:rsidP="00F657C4">
      <w:pPr>
        <w:pStyle w:val="Heading1"/>
        <w:jc w:val="center"/>
      </w:pPr>
    </w:p>
    <w:p w14:paraId="616632FE" w14:textId="77777777" w:rsidR="00F657C4" w:rsidRDefault="00F657C4" w:rsidP="00F657C4">
      <w:pPr>
        <w:pStyle w:val="Heading1"/>
        <w:jc w:val="center"/>
      </w:pPr>
      <w:r>
        <w:t>Links between the AAE Board of Directors</w:t>
      </w:r>
    </w:p>
    <w:p w14:paraId="28BF36BB" w14:textId="77777777" w:rsidR="00F657C4" w:rsidRDefault="00F657C4" w:rsidP="00F657C4">
      <w:pPr>
        <w:pStyle w:val="Heading1"/>
        <w:jc w:val="center"/>
      </w:pPr>
      <w:r>
        <w:t>and</w:t>
      </w:r>
    </w:p>
    <w:p w14:paraId="4AA37275" w14:textId="77777777" w:rsidR="00F657C4" w:rsidRDefault="00F657C4" w:rsidP="00F657C4">
      <w:pPr>
        <w:pStyle w:val="Heading1"/>
        <w:jc w:val="center"/>
      </w:pPr>
      <w:r>
        <w:t>the AAE Committee Chairpersons</w:t>
      </w:r>
    </w:p>
    <w:p w14:paraId="7B6ADA20" w14:textId="77777777" w:rsidR="00F657C4" w:rsidRDefault="00F657C4" w:rsidP="00F657C4">
      <w:pPr>
        <w:spacing w:line="240" w:lineRule="auto"/>
        <w:rPr>
          <w:rFonts w:cstheme="minorHAnsi"/>
          <w:b/>
          <w:color w:val="0B3D53" w:themeColor="text1"/>
          <w:sz w:val="32"/>
          <w:szCs w:val="22"/>
        </w:rPr>
      </w:pPr>
    </w:p>
    <w:p w14:paraId="4D3F05D8" w14:textId="77777777" w:rsidR="00F657C4" w:rsidRPr="00CC404E" w:rsidRDefault="00F657C4" w:rsidP="00F657C4">
      <w:pPr>
        <w:tabs>
          <w:tab w:val="left" w:pos="540"/>
          <w:tab w:val="left" w:pos="1560"/>
          <w:tab w:val="left" w:pos="1985"/>
          <w:tab w:val="left" w:pos="14220"/>
        </w:tabs>
        <w:spacing w:after="120" w:line="360" w:lineRule="auto"/>
        <w:contextualSpacing/>
        <w:rPr>
          <w:rFonts w:cstheme="minorHAnsi"/>
          <w:i/>
          <w:color w:val="000000"/>
          <w:szCs w:val="22"/>
        </w:rPr>
      </w:pPr>
    </w:p>
    <w:p w14:paraId="05D01201" w14:textId="77777777" w:rsidR="00F657C4" w:rsidRPr="00CC404E" w:rsidRDefault="00F657C4" w:rsidP="00F657C4">
      <w:pPr>
        <w:rPr>
          <w:rFonts w:eastAsiaTheme="majorEastAsia" w:cstheme="minorHAnsi"/>
          <w:szCs w:val="22"/>
          <w:lang w:eastAsia="en-US"/>
        </w:rPr>
      </w:pPr>
      <w:r w:rsidRPr="00CC404E">
        <w:rPr>
          <w:rFonts w:eastAsiaTheme="majorEastAsia" w:cstheme="minorHAnsi"/>
          <w:szCs w:val="22"/>
          <w:lang w:eastAsia="en-US"/>
        </w:rPr>
        <w:br/>
      </w:r>
    </w:p>
    <w:p w14:paraId="1A4F5E5F" w14:textId="77777777" w:rsidR="00F657C4" w:rsidRPr="00CC404E" w:rsidRDefault="00F657C4" w:rsidP="00F657C4">
      <w:pPr>
        <w:spacing w:line="240" w:lineRule="auto"/>
        <w:rPr>
          <w:rFonts w:eastAsiaTheme="majorEastAsia" w:cstheme="minorHAnsi"/>
          <w:szCs w:val="22"/>
          <w:lang w:eastAsia="en-US"/>
        </w:rPr>
      </w:pPr>
      <w:r w:rsidRPr="00CC404E">
        <w:rPr>
          <w:rFonts w:eastAsiaTheme="majorEastAsia" w:cstheme="minorHAnsi"/>
          <w:szCs w:val="22"/>
          <w:lang w:eastAsia="en-US"/>
        </w:rPr>
        <w:br w:type="page"/>
      </w:r>
    </w:p>
    <w:p w14:paraId="71E42A37" w14:textId="77777777" w:rsidR="00F657C4" w:rsidRPr="00CC404E" w:rsidRDefault="00F657C4" w:rsidP="00F657C4">
      <w:pPr>
        <w:spacing w:line="360" w:lineRule="auto"/>
        <w:rPr>
          <w:rFonts w:cstheme="minorHAnsi"/>
          <w:b/>
          <w:szCs w:val="22"/>
        </w:rPr>
      </w:pPr>
    </w:p>
    <w:p w14:paraId="593479AA" w14:textId="77777777" w:rsidR="00F657C4" w:rsidRPr="00CC404E" w:rsidRDefault="00F657C4" w:rsidP="00F657C4">
      <w:pPr>
        <w:spacing w:line="360" w:lineRule="auto"/>
        <w:jc w:val="both"/>
        <w:rPr>
          <w:rFonts w:cstheme="minorHAnsi"/>
          <w:szCs w:val="22"/>
        </w:rPr>
      </w:pPr>
      <w:r w:rsidRPr="00CC404E">
        <w:rPr>
          <w:rFonts w:cstheme="minorHAnsi"/>
          <w:szCs w:val="22"/>
        </w:rPr>
        <w:t>The requirements which follow are designed to ensure, without introducing excessive formality, that</w:t>
      </w:r>
    </w:p>
    <w:p w14:paraId="4D2C47FF" w14:textId="77777777" w:rsidR="00F657C4" w:rsidRPr="00CC404E" w:rsidRDefault="00F657C4" w:rsidP="00F657C4">
      <w:pPr>
        <w:pStyle w:val="ListParagraph"/>
        <w:numPr>
          <w:ilvl w:val="0"/>
          <w:numId w:val="6"/>
        </w:numPr>
        <w:spacing w:line="360" w:lineRule="auto"/>
        <w:jc w:val="both"/>
        <w:rPr>
          <w:rFonts w:cstheme="minorHAnsi"/>
          <w:szCs w:val="22"/>
        </w:rPr>
      </w:pPr>
      <w:r w:rsidRPr="00CC404E">
        <w:rPr>
          <w:rFonts w:cstheme="minorHAnsi"/>
          <w:szCs w:val="22"/>
        </w:rPr>
        <w:t xml:space="preserve">The AAE Committees deliver their part of the AAE overall Strategy and the Strategic Objectives effectively and efficiently; in particular they continue to work in order to deliver a great deal of “Strategic Objective 1: Enhance relations with European institutions” (providing high quality professional advice); and Committee </w:t>
      </w:r>
      <w:r>
        <w:rPr>
          <w:rFonts w:cstheme="minorHAnsi"/>
          <w:szCs w:val="22"/>
        </w:rPr>
        <w:t>Chairpersons</w:t>
      </w:r>
      <w:r w:rsidRPr="00CC404E">
        <w:rPr>
          <w:rFonts w:cstheme="minorHAnsi"/>
          <w:szCs w:val="22"/>
        </w:rPr>
        <w:t>, in the first place, continue to represent the respective committee’s views during discussions with such European institutions.</w:t>
      </w:r>
    </w:p>
    <w:p w14:paraId="36D2E84A" w14:textId="77777777" w:rsidR="00F657C4" w:rsidRPr="00CC404E" w:rsidRDefault="00F657C4" w:rsidP="00F657C4">
      <w:pPr>
        <w:pStyle w:val="ListParagraph"/>
        <w:numPr>
          <w:ilvl w:val="0"/>
          <w:numId w:val="6"/>
        </w:numPr>
        <w:spacing w:line="360" w:lineRule="auto"/>
        <w:jc w:val="both"/>
        <w:rPr>
          <w:rFonts w:cstheme="minorHAnsi"/>
          <w:szCs w:val="22"/>
        </w:rPr>
      </w:pPr>
      <w:r w:rsidRPr="00CC404E">
        <w:rPr>
          <w:rFonts w:cstheme="minorHAnsi"/>
          <w:szCs w:val="22"/>
        </w:rPr>
        <w:t>The Board shall supervise the activities of the Committees but should not manage those activities,</w:t>
      </w:r>
    </w:p>
    <w:p w14:paraId="542632E0" w14:textId="77777777" w:rsidR="00F657C4" w:rsidRPr="00CC404E" w:rsidRDefault="00F657C4" w:rsidP="00F657C4">
      <w:pPr>
        <w:pStyle w:val="ListParagraph"/>
        <w:numPr>
          <w:ilvl w:val="0"/>
          <w:numId w:val="6"/>
        </w:numPr>
        <w:spacing w:line="360" w:lineRule="auto"/>
        <w:jc w:val="both"/>
        <w:rPr>
          <w:rFonts w:cstheme="minorHAnsi"/>
          <w:szCs w:val="22"/>
        </w:rPr>
      </w:pPr>
      <w:r w:rsidRPr="00CC404E">
        <w:rPr>
          <w:rFonts w:cstheme="minorHAnsi"/>
          <w:szCs w:val="22"/>
        </w:rPr>
        <w:t xml:space="preserve">Communication between Committee </w:t>
      </w:r>
      <w:r>
        <w:rPr>
          <w:rFonts w:cstheme="minorHAnsi"/>
          <w:szCs w:val="22"/>
        </w:rPr>
        <w:t>Chairpersons</w:t>
      </w:r>
      <w:r w:rsidRPr="00CC404E">
        <w:rPr>
          <w:rFonts w:cstheme="minorHAnsi"/>
          <w:szCs w:val="22"/>
        </w:rPr>
        <w:t xml:space="preserve"> and the Board is open, comprehensive, regular and two way, and</w:t>
      </w:r>
    </w:p>
    <w:p w14:paraId="587AACF7" w14:textId="77777777" w:rsidR="00F657C4" w:rsidRPr="00CC404E" w:rsidRDefault="00F657C4" w:rsidP="00F657C4">
      <w:pPr>
        <w:pStyle w:val="ListParagraph"/>
        <w:numPr>
          <w:ilvl w:val="0"/>
          <w:numId w:val="6"/>
        </w:numPr>
        <w:spacing w:line="360" w:lineRule="auto"/>
        <w:jc w:val="both"/>
        <w:rPr>
          <w:rFonts w:cstheme="minorHAnsi"/>
          <w:szCs w:val="22"/>
        </w:rPr>
      </w:pPr>
      <w:r w:rsidRPr="00CC404E">
        <w:rPr>
          <w:rFonts w:cstheme="minorHAnsi"/>
          <w:szCs w:val="22"/>
        </w:rPr>
        <w:t>There is ample opportunity for each of the two parties to ask questions of the other and to provide feedback and challenge as appropriate,</w:t>
      </w:r>
    </w:p>
    <w:p w14:paraId="754A67A7" w14:textId="1C39C51C" w:rsidR="00F657C4" w:rsidRPr="00CC404E" w:rsidRDefault="00F657C4" w:rsidP="00F657C4">
      <w:pPr>
        <w:pStyle w:val="ListParagraph"/>
        <w:numPr>
          <w:ilvl w:val="0"/>
          <w:numId w:val="6"/>
        </w:numPr>
        <w:spacing w:line="360" w:lineRule="auto"/>
        <w:jc w:val="both"/>
        <w:rPr>
          <w:rFonts w:cstheme="minorHAnsi"/>
          <w:szCs w:val="22"/>
        </w:rPr>
      </w:pPr>
      <w:r w:rsidRPr="00CC404E">
        <w:rPr>
          <w:rFonts w:cstheme="minorHAnsi"/>
          <w:szCs w:val="22"/>
        </w:rPr>
        <w:t xml:space="preserve">The AAE </w:t>
      </w:r>
      <w:r>
        <w:rPr>
          <w:rFonts w:cstheme="minorHAnsi"/>
          <w:szCs w:val="22"/>
        </w:rPr>
        <w:t>C</w:t>
      </w:r>
      <w:r w:rsidRPr="00CC404E">
        <w:rPr>
          <w:rFonts w:cstheme="minorHAnsi"/>
          <w:szCs w:val="22"/>
        </w:rPr>
        <w:t xml:space="preserve">hairperson with the help of the Chief </w:t>
      </w:r>
      <w:r>
        <w:rPr>
          <w:rFonts w:cstheme="minorHAnsi"/>
          <w:szCs w:val="22"/>
        </w:rPr>
        <w:t>E</w:t>
      </w:r>
      <w:r w:rsidRPr="00CC404E">
        <w:rPr>
          <w:rFonts w:cstheme="minorHAnsi"/>
          <w:szCs w:val="22"/>
        </w:rPr>
        <w:t>xecutive is responsible for ensuring the good application of the principles formulated in this document</w:t>
      </w:r>
      <w:r>
        <w:rPr>
          <w:rFonts w:cstheme="minorHAnsi"/>
          <w:szCs w:val="22"/>
        </w:rPr>
        <w:t>.</w:t>
      </w:r>
    </w:p>
    <w:p w14:paraId="42776F66" w14:textId="4BBFE826" w:rsidR="00F657C4" w:rsidRPr="00CC404E" w:rsidRDefault="00F657C4" w:rsidP="00F657C4">
      <w:pPr>
        <w:spacing w:line="360" w:lineRule="auto"/>
        <w:jc w:val="both"/>
        <w:rPr>
          <w:rFonts w:cstheme="minorHAnsi"/>
          <w:i/>
          <w:szCs w:val="22"/>
        </w:rPr>
      </w:pPr>
      <w:r>
        <w:rPr>
          <w:rFonts w:cstheme="minorHAnsi"/>
          <w:i/>
          <w:szCs w:val="22"/>
        </w:rPr>
        <w:br/>
      </w:r>
      <w:r w:rsidRPr="00CC404E">
        <w:rPr>
          <w:rFonts w:cstheme="minorHAnsi"/>
          <w:i/>
          <w:szCs w:val="22"/>
        </w:rPr>
        <w:t>Reports and minutes</w:t>
      </w:r>
    </w:p>
    <w:p w14:paraId="7AF96E19" w14:textId="77777777" w:rsidR="00F657C4" w:rsidRPr="00CC404E" w:rsidRDefault="00F657C4" w:rsidP="00F657C4">
      <w:pPr>
        <w:pStyle w:val="ListParagraph"/>
        <w:numPr>
          <w:ilvl w:val="0"/>
          <w:numId w:val="4"/>
        </w:numPr>
        <w:spacing w:line="360" w:lineRule="auto"/>
        <w:jc w:val="both"/>
        <w:rPr>
          <w:rFonts w:cstheme="minorHAnsi"/>
          <w:szCs w:val="22"/>
        </w:rPr>
      </w:pPr>
      <w:r w:rsidRPr="00CC404E">
        <w:rPr>
          <w:rFonts w:cstheme="minorHAnsi"/>
          <w:szCs w:val="22"/>
        </w:rPr>
        <w:t xml:space="preserve">Committee </w:t>
      </w:r>
      <w:r>
        <w:rPr>
          <w:rFonts w:cstheme="minorHAnsi"/>
          <w:szCs w:val="22"/>
        </w:rPr>
        <w:t>Chairpersons</w:t>
      </w:r>
      <w:r w:rsidRPr="00CC404E">
        <w:rPr>
          <w:rFonts w:cstheme="minorHAnsi"/>
          <w:szCs w:val="22"/>
        </w:rPr>
        <w:t xml:space="preserve"> will be required to provide a quarterly report to the Board at a time to be agreed, covering the activities of the relevant Committee and any sub-Committees or other Committee bodies.</w:t>
      </w:r>
    </w:p>
    <w:p w14:paraId="4E01B150" w14:textId="77777777" w:rsidR="00F657C4" w:rsidRPr="00CC404E" w:rsidRDefault="00F657C4" w:rsidP="00F657C4">
      <w:pPr>
        <w:pStyle w:val="ListParagraph"/>
        <w:numPr>
          <w:ilvl w:val="0"/>
          <w:numId w:val="4"/>
        </w:numPr>
        <w:spacing w:line="360" w:lineRule="auto"/>
        <w:jc w:val="both"/>
        <w:rPr>
          <w:rFonts w:cstheme="minorHAnsi"/>
          <w:szCs w:val="22"/>
        </w:rPr>
      </w:pPr>
      <w:r w:rsidRPr="00CC404E">
        <w:rPr>
          <w:rFonts w:cstheme="minorHAnsi"/>
          <w:szCs w:val="22"/>
        </w:rPr>
        <w:t>All minutes of Committee meetings will be provided to the Board.</w:t>
      </w:r>
    </w:p>
    <w:p w14:paraId="6F4B8BB3" w14:textId="77777777" w:rsidR="00F657C4" w:rsidRDefault="00F657C4" w:rsidP="00F657C4">
      <w:pPr>
        <w:spacing w:line="360" w:lineRule="auto"/>
        <w:jc w:val="both"/>
        <w:rPr>
          <w:rFonts w:cstheme="minorHAnsi"/>
          <w:i/>
          <w:szCs w:val="22"/>
        </w:rPr>
      </w:pPr>
    </w:p>
    <w:p w14:paraId="31FC2A32" w14:textId="77777777" w:rsidR="00F657C4" w:rsidRPr="00CC404E" w:rsidRDefault="00F657C4" w:rsidP="00F657C4">
      <w:pPr>
        <w:spacing w:line="360" w:lineRule="auto"/>
        <w:jc w:val="both"/>
        <w:rPr>
          <w:rFonts w:cstheme="minorHAnsi"/>
          <w:i/>
          <w:szCs w:val="22"/>
        </w:rPr>
      </w:pPr>
      <w:r w:rsidRPr="00CC404E">
        <w:rPr>
          <w:rFonts w:cstheme="minorHAnsi"/>
          <w:i/>
          <w:szCs w:val="22"/>
        </w:rPr>
        <w:t>Exchange of information and attendance at meetings</w:t>
      </w:r>
    </w:p>
    <w:p w14:paraId="31EB9BBA" w14:textId="77777777" w:rsidR="00F657C4" w:rsidRPr="00CC404E" w:rsidRDefault="00F657C4" w:rsidP="00F657C4">
      <w:pPr>
        <w:pStyle w:val="ListParagraph"/>
        <w:numPr>
          <w:ilvl w:val="0"/>
          <w:numId w:val="4"/>
        </w:numPr>
        <w:spacing w:line="360" w:lineRule="auto"/>
        <w:jc w:val="both"/>
        <w:rPr>
          <w:rFonts w:cstheme="minorHAnsi"/>
          <w:szCs w:val="22"/>
        </w:rPr>
      </w:pPr>
      <w:r w:rsidRPr="00CC404E">
        <w:rPr>
          <w:rFonts w:cstheme="minorHAnsi"/>
          <w:szCs w:val="22"/>
        </w:rPr>
        <w:t xml:space="preserve">A two way information flow between Committee </w:t>
      </w:r>
      <w:r>
        <w:rPr>
          <w:rFonts w:cstheme="minorHAnsi"/>
          <w:szCs w:val="22"/>
        </w:rPr>
        <w:t>Chairpersons</w:t>
      </w:r>
      <w:r w:rsidRPr="00CC404E">
        <w:rPr>
          <w:rFonts w:cstheme="minorHAnsi"/>
          <w:szCs w:val="22"/>
        </w:rPr>
        <w:t xml:space="preserve"> and Board Members at the formal Board meetings and informally beyond the formal Board meetings is vital for delivering the strategy of the AAE and all are expected to act accordingly.</w:t>
      </w:r>
    </w:p>
    <w:p w14:paraId="36C20710" w14:textId="77777777" w:rsidR="00F657C4" w:rsidRPr="00CC404E" w:rsidRDefault="00F657C4" w:rsidP="00F657C4">
      <w:pPr>
        <w:pStyle w:val="ListParagraph"/>
        <w:numPr>
          <w:ilvl w:val="0"/>
          <w:numId w:val="4"/>
        </w:numPr>
        <w:spacing w:line="360" w:lineRule="auto"/>
        <w:jc w:val="both"/>
        <w:rPr>
          <w:rFonts w:cstheme="minorHAnsi"/>
          <w:szCs w:val="22"/>
        </w:rPr>
      </w:pPr>
      <w:r w:rsidRPr="00CC404E">
        <w:rPr>
          <w:rFonts w:cstheme="minorHAnsi"/>
          <w:szCs w:val="22"/>
        </w:rPr>
        <w:t>Members of the Board will have a right of attendance at all Committee meetings.</w:t>
      </w:r>
    </w:p>
    <w:p w14:paraId="4C95B825" w14:textId="77777777" w:rsidR="00F657C4" w:rsidRPr="00CC404E" w:rsidRDefault="00F657C4" w:rsidP="00F657C4">
      <w:pPr>
        <w:pStyle w:val="ListParagraph"/>
        <w:numPr>
          <w:ilvl w:val="0"/>
          <w:numId w:val="4"/>
        </w:numPr>
        <w:spacing w:line="360" w:lineRule="auto"/>
        <w:jc w:val="both"/>
        <w:rPr>
          <w:rFonts w:cstheme="minorHAnsi"/>
          <w:szCs w:val="22"/>
        </w:rPr>
      </w:pPr>
      <w:r w:rsidRPr="00CC404E">
        <w:rPr>
          <w:rFonts w:cstheme="minorHAnsi"/>
          <w:szCs w:val="22"/>
        </w:rPr>
        <w:t>Committee Chair</w:t>
      </w:r>
      <w:r>
        <w:rPr>
          <w:rFonts w:cstheme="minorHAnsi"/>
          <w:szCs w:val="22"/>
        </w:rPr>
        <w:t>person</w:t>
      </w:r>
      <w:r w:rsidRPr="00CC404E">
        <w:rPr>
          <w:rFonts w:cstheme="minorHAnsi"/>
          <w:szCs w:val="22"/>
        </w:rPr>
        <w:t xml:space="preserve">s shall be invited to attend all Board meetings. Part of the Board may be closed to Committee </w:t>
      </w:r>
      <w:r>
        <w:rPr>
          <w:rFonts w:cstheme="minorHAnsi"/>
          <w:szCs w:val="22"/>
        </w:rPr>
        <w:t>Chairpersons</w:t>
      </w:r>
      <w:r w:rsidRPr="00CC404E">
        <w:rPr>
          <w:rFonts w:cstheme="minorHAnsi"/>
          <w:szCs w:val="22"/>
        </w:rPr>
        <w:t xml:space="preserve"> when certain confidential matters (such as evaluation of the Committees or personal matters) are discussed. The Board will ensure that sufficient time is available at these meetings to discuss the activities of the relevant Committees. Committee Chair</w:t>
      </w:r>
      <w:r>
        <w:rPr>
          <w:rFonts w:cstheme="minorHAnsi"/>
          <w:szCs w:val="22"/>
        </w:rPr>
        <w:t>person</w:t>
      </w:r>
      <w:r w:rsidRPr="00CC404E">
        <w:rPr>
          <w:rFonts w:cstheme="minorHAnsi"/>
          <w:szCs w:val="22"/>
        </w:rPr>
        <w:t>s shall have the right to speak freely at the Board meetings but shall have no right to vote.</w:t>
      </w:r>
    </w:p>
    <w:p w14:paraId="26C63A49" w14:textId="77777777" w:rsidR="00F657C4" w:rsidRDefault="00F657C4" w:rsidP="00F657C4">
      <w:pPr>
        <w:pStyle w:val="ListParagraph"/>
        <w:numPr>
          <w:ilvl w:val="0"/>
          <w:numId w:val="4"/>
        </w:numPr>
        <w:spacing w:line="360" w:lineRule="auto"/>
        <w:jc w:val="both"/>
        <w:rPr>
          <w:rFonts w:cstheme="minorHAnsi"/>
          <w:szCs w:val="22"/>
        </w:rPr>
      </w:pPr>
      <w:r w:rsidRPr="00CC404E">
        <w:rPr>
          <w:rFonts w:cstheme="minorHAnsi"/>
          <w:szCs w:val="22"/>
        </w:rPr>
        <w:lastRenderedPageBreak/>
        <w:t xml:space="preserve">The Board and Committee </w:t>
      </w:r>
      <w:r>
        <w:rPr>
          <w:rFonts w:cstheme="minorHAnsi"/>
          <w:szCs w:val="22"/>
        </w:rPr>
        <w:t>Chairpersons</w:t>
      </w:r>
      <w:r w:rsidRPr="00CC404E">
        <w:rPr>
          <w:rFonts w:cstheme="minorHAnsi"/>
          <w:szCs w:val="22"/>
        </w:rPr>
        <w:t xml:space="preserve"> must, between them, ensure that Committees are regularly briefed as to AAE strategy, developments and issues.</w:t>
      </w:r>
    </w:p>
    <w:p w14:paraId="1DB6CA01" w14:textId="77777777" w:rsidR="00F657C4" w:rsidRPr="00CC404E" w:rsidRDefault="00F657C4" w:rsidP="00F657C4">
      <w:pPr>
        <w:pStyle w:val="ListParagraph"/>
        <w:spacing w:line="360" w:lineRule="auto"/>
        <w:ind w:left="360"/>
        <w:jc w:val="both"/>
        <w:rPr>
          <w:rFonts w:cstheme="minorHAnsi"/>
          <w:szCs w:val="22"/>
        </w:rPr>
      </w:pPr>
    </w:p>
    <w:p w14:paraId="087046C8" w14:textId="77777777" w:rsidR="00F657C4" w:rsidRPr="00CC404E" w:rsidRDefault="00F657C4" w:rsidP="00F657C4">
      <w:pPr>
        <w:spacing w:line="360" w:lineRule="auto"/>
        <w:jc w:val="both"/>
        <w:rPr>
          <w:rFonts w:cstheme="minorHAnsi"/>
          <w:i/>
          <w:szCs w:val="22"/>
        </w:rPr>
      </w:pPr>
      <w:r>
        <w:rPr>
          <w:rFonts w:cstheme="minorHAnsi"/>
          <w:i/>
          <w:szCs w:val="22"/>
        </w:rPr>
        <w:t>Sub-C</w:t>
      </w:r>
      <w:r w:rsidRPr="00CC404E">
        <w:rPr>
          <w:rFonts w:cstheme="minorHAnsi"/>
          <w:i/>
          <w:szCs w:val="22"/>
        </w:rPr>
        <w:t>ommittees</w:t>
      </w:r>
    </w:p>
    <w:p w14:paraId="565825E5" w14:textId="77777777" w:rsidR="00F657C4" w:rsidRPr="00CC404E" w:rsidRDefault="00F657C4" w:rsidP="00F657C4">
      <w:pPr>
        <w:pStyle w:val="ListParagraph"/>
        <w:numPr>
          <w:ilvl w:val="0"/>
          <w:numId w:val="4"/>
        </w:numPr>
        <w:spacing w:line="360" w:lineRule="auto"/>
        <w:jc w:val="both"/>
        <w:rPr>
          <w:rFonts w:cstheme="minorHAnsi"/>
          <w:szCs w:val="22"/>
        </w:rPr>
      </w:pPr>
      <w:r w:rsidRPr="00CC404E">
        <w:rPr>
          <w:rFonts w:cstheme="minorHAnsi"/>
          <w:szCs w:val="22"/>
        </w:rPr>
        <w:t>Where Committees propose to establish a sub-</w:t>
      </w:r>
      <w:r>
        <w:rPr>
          <w:rFonts w:cstheme="minorHAnsi"/>
          <w:szCs w:val="22"/>
        </w:rPr>
        <w:t>C</w:t>
      </w:r>
      <w:r w:rsidRPr="00CC404E">
        <w:rPr>
          <w:rFonts w:cstheme="minorHAnsi"/>
          <w:szCs w:val="22"/>
        </w:rPr>
        <w:t xml:space="preserve">ommittee (or other </w:t>
      </w:r>
      <w:r>
        <w:rPr>
          <w:rFonts w:cstheme="minorHAnsi"/>
          <w:szCs w:val="22"/>
        </w:rPr>
        <w:t>C</w:t>
      </w:r>
      <w:r w:rsidRPr="00CC404E">
        <w:rPr>
          <w:rFonts w:cstheme="minorHAnsi"/>
          <w:szCs w:val="22"/>
        </w:rPr>
        <w:t>ommittee body), the nature and terms of reference of the proposed sub-</w:t>
      </w:r>
      <w:r>
        <w:rPr>
          <w:rFonts w:cstheme="minorHAnsi"/>
          <w:szCs w:val="22"/>
        </w:rPr>
        <w:t>C</w:t>
      </w:r>
      <w:r w:rsidRPr="00CC404E">
        <w:rPr>
          <w:rFonts w:cstheme="minorHAnsi"/>
          <w:szCs w:val="22"/>
        </w:rPr>
        <w:t>ommittee will be provided to the Board for approval in advance of establishment of the sub-</w:t>
      </w:r>
      <w:r>
        <w:rPr>
          <w:rFonts w:cstheme="minorHAnsi"/>
          <w:szCs w:val="22"/>
        </w:rPr>
        <w:t>C</w:t>
      </w:r>
      <w:r w:rsidRPr="00CC404E">
        <w:rPr>
          <w:rFonts w:cstheme="minorHAnsi"/>
          <w:szCs w:val="22"/>
        </w:rPr>
        <w:t>ommittee.</w:t>
      </w:r>
    </w:p>
    <w:p w14:paraId="403B4BA3" w14:textId="77777777" w:rsidR="00F657C4" w:rsidRDefault="00F657C4" w:rsidP="00F657C4">
      <w:pPr>
        <w:spacing w:line="360" w:lineRule="auto"/>
        <w:jc w:val="both"/>
        <w:rPr>
          <w:rFonts w:cstheme="minorHAnsi"/>
          <w:i/>
          <w:szCs w:val="22"/>
        </w:rPr>
      </w:pPr>
    </w:p>
    <w:p w14:paraId="0EB2A7B9" w14:textId="77777777" w:rsidR="00F657C4" w:rsidRPr="00CC404E" w:rsidRDefault="00F657C4" w:rsidP="00F657C4">
      <w:pPr>
        <w:spacing w:line="360" w:lineRule="auto"/>
        <w:jc w:val="both"/>
        <w:rPr>
          <w:rFonts w:cstheme="minorHAnsi"/>
          <w:i/>
          <w:szCs w:val="22"/>
        </w:rPr>
      </w:pPr>
      <w:r w:rsidRPr="00CC404E">
        <w:rPr>
          <w:rFonts w:cstheme="minorHAnsi"/>
          <w:i/>
          <w:szCs w:val="22"/>
        </w:rPr>
        <w:t>Meetings with European Institutions</w:t>
      </w:r>
    </w:p>
    <w:p w14:paraId="76D91C66" w14:textId="77777777" w:rsidR="00F657C4" w:rsidRPr="00CC404E" w:rsidRDefault="00F657C4" w:rsidP="00F657C4">
      <w:pPr>
        <w:pStyle w:val="ListParagraph"/>
        <w:numPr>
          <w:ilvl w:val="0"/>
          <w:numId w:val="4"/>
        </w:numPr>
        <w:spacing w:line="360" w:lineRule="auto"/>
        <w:jc w:val="both"/>
        <w:rPr>
          <w:rFonts w:cstheme="minorHAnsi"/>
          <w:szCs w:val="22"/>
        </w:rPr>
      </w:pPr>
      <w:r w:rsidRPr="00CC404E">
        <w:rPr>
          <w:rFonts w:cstheme="minorHAnsi"/>
          <w:szCs w:val="22"/>
        </w:rPr>
        <w:t xml:space="preserve">Committee </w:t>
      </w:r>
      <w:r>
        <w:rPr>
          <w:rFonts w:cstheme="minorHAnsi"/>
          <w:szCs w:val="22"/>
        </w:rPr>
        <w:t>Chairpersons</w:t>
      </w:r>
      <w:r w:rsidRPr="00CC404E">
        <w:rPr>
          <w:rFonts w:cstheme="minorHAnsi"/>
          <w:szCs w:val="22"/>
        </w:rPr>
        <w:t xml:space="preserve"> may set up formal meetings with European Institutions, e.g. EIOPA, European Commission, provided that the Board is notified about the meetings, subject matter and proposed approach and the Board does not raise any objection.</w:t>
      </w:r>
    </w:p>
    <w:p w14:paraId="02237E1A" w14:textId="77777777" w:rsidR="00F657C4" w:rsidRPr="00CC404E" w:rsidRDefault="00F657C4" w:rsidP="00F657C4">
      <w:pPr>
        <w:pStyle w:val="ListParagraph"/>
        <w:numPr>
          <w:ilvl w:val="0"/>
          <w:numId w:val="4"/>
        </w:numPr>
        <w:spacing w:line="360" w:lineRule="auto"/>
        <w:jc w:val="both"/>
        <w:rPr>
          <w:rFonts w:cstheme="minorHAnsi"/>
          <w:szCs w:val="22"/>
        </w:rPr>
      </w:pPr>
      <w:r w:rsidRPr="00CC404E">
        <w:rPr>
          <w:rFonts w:cstheme="minorHAnsi"/>
          <w:szCs w:val="22"/>
        </w:rPr>
        <w:t xml:space="preserve">Committee </w:t>
      </w:r>
      <w:r>
        <w:rPr>
          <w:rFonts w:cstheme="minorHAnsi"/>
          <w:szCs w:val="22"/>
        </w:rPr>
        <w:t>Chairpersons</w:t>
      </w:r>
      <w:r w:rsidRPr="00CC404E">
        <w:rPr>
          <w:rFonts w:cstheme="minorHAnsi"/>
          <w:szCs w:val="22"/>
        </w:rPr>
        <w:t xml:space="preserve"> will in normal circumstances attend regular update meetings between the AAE and European Institutions which are relevant to the work of their Committees.</w:t>
      </w:r>
    </w:p>
    <w:p w14:paraId="3DD17E90" w14:textId="77777777" w:rsidR="00F657C4" w:rsidRDefault="00F657C4" w:rsidP="00F657C4">
      <w:pPr>
        <w:spacing w:line="360" w:lineRule="auto"/>
        <w:jc w:val="both"/>
        <w:rPr>
          <w:rFonts w:cstheme="minorHAnsi"/>
          <w:i/>
          <w:szCs w:val="22"/>
        </w:rPr>
      </w:pPr>
    </w:p>
    <w:p w14:paraId="26A96777" w14:textId="77777777" w:rsidR="00F657C4" w:rsidRPr="00CC404E" w:rsidRDefault="00F657C4" w:rsidP="00F657C4">
      <w:pPr>
        <w:spacing w:line="360" w:lineRule="auto"/>
        <w:jc w:val="both"/>
        <w:rPr>
          <w:rFonts w:cstheme="minorHAnsi"/>
          <w:i/>
          <w:szCs w:val="22"/>
        </w:rPr>
      </w:pPr>
      <w:r w:rsidRPr="00CC404E">
        <w:rPr>
          <w:rFonts w:cstheme="minorHAnsi"/>
          <w:i/>
          <w:szCs w:val="22"/>
        </w:rPr>
        <w:t>Consultations</w:t>
      </w:r>
    </w:p>
    <w:p w14:paraId="4BF306AA" w14:textId="77777777" w:rsidR="00F657C4" w:rsidRPr="00CC404E" w:rsidRDefault="00F657C4" w:rsidP="00F657C4">
      <w:pPr>
        <w:pStyle w:val="ListParagraph"/>
        <w:numPr>
          <w:ilvl w:val="0"/>
          <w:numId w:val="5"/>
        </w:numPr>
        <w:spacing w:line="360" w:lineRule="auto"/>
        <w:jc w:val="both"/>
        <w:rPr>
          <w:rFonts w:cstheme="minorHAnsi"/>
          <w:szCs w:val="22"/>
        </w:rPr>
      </w:pPr>
      <w:r w:rsidRPr="00CC404E">
        <w:rPr>
          <w:rFonts w:cstheme="minorHAnsi"/>
          <w:szCs w:val="22"/>
        </w:rPr>
        <w:t>Consultations or discussion papers issued by European Institutions will be considered, and responses prepared by, the relevant Committee. Responses will be subject to approval by the Board in advance of submission. The relevant Committee Chair</w:t>
      </w:r>
      <w:r>
        <w:rPr>
          <w:rFonts w:cstheme="minorHAnsi"/>
          <w:szCs w:val="22"/>
        </w:rPr>
        <w:t>person</w:t>
      </w:r>
      <w:r w:rsidRPr="00CC404E">
        <w:rPr>
          <w:rFonts w:cstheme="minorHAnsi"/>
          <w:szCs w:val="22"/>
        </w:rPr>
        <w:t xml:space="preserve"> must keep the Board informed as to progress of such responses and material issues arising in their preparation.</w:t>
      </w:r>
    </w:p>
    <w:p w14:paraId="28F125B1" w14:textId="77777777" w:rsidR="00F657C4" w:rsidRDefault="00F657C4" w:rsidP="00F657C4">
      <w:pPr>
        <w:spacing w:line="360" w:lineRule="auto"/>
        <w:jc w:val="both"/>
        <w:rPr>
          <w:rFonts w:cstheme="minorHAnsi"/>
          <w:i/>
          <w:szCs w:val="22"/>
        </w:rPr>
      </w:pPr>
    </w:p>
    <w:p w14:paraId="45538EB6" w14:textId="77777777" w:rsidR="00F657C4" w:rsidRPr="00CC404E" w:rsidRDefault="00F657C4" w:rsidP="00F657C4">
      <w:pPr>
        <w:spacing w:line="360" w:lineRule="auto"/>
        <w:jc w:val="both"/>
        <w:rPr>
          <w:rFonts w:cstheme="minorHAnsi"/>
          <w:i/>
          <w:szCs w:val="22"/>
        </w:rPr>
      </w:pPr>
      <w:r w:rsidRPr="00CC404E">
        <w:rPr>
          <w:rFonts w:cstheme="minorHAnsi"/>
          <w:i/>
          <w:szCs w:val="22"/>
        </w:rPr>
        <w:t>Terms of reference</w:t>
      </w:r>
    </w:p>
    <w:p w14:paraId="3196A5A0" w14:textId="77777777" w:rsidR="00F657C4" w:rsidRPr="00CC404E" w:rsidRDefault="00F657C4" w:rsidP="00F657C4">
      <w:pPr>
        <w:pStyle w:val="ListParagraph"/>
        <w:numPr>
          <w:ilvl w:val="0"/>
          <w:numId w:val="5"/>
        </w:numPr>
        <w:spacing w:line="360" w:lineRule="auto"/>
        <w:jc w:val="both"/>
        <w:rPr>
          <w:rFonts w:cstheme="minorHAnsi"/>
          <w:szCs w:val="22"/>
        </w:rPr>
      </w:pPr>
      <w:r w:rsidRPr="00CC404E">
        <w:rPr>
          <w:rFonts w:cstheme="minorHAnsi"/>
          <w:szCs w:val="22"/>
        </w:rPr>
        <w:t>Committees are required to consider annually the continued appropriateness of their terms of reference and to report any changes considered necessary to the Board for ratification.  Outputs from this annual process should normally form part of the annual report from the Committee Chair</w:t>
      </w:r>
      <w:r>
        <w:rPr>
          <w:rFonts w:cstheme="minorHAnsi"/>
          <w:szCs w:val="22"/>
        </w:rPr>
        <w:t>person</w:t>
      </w:r>
      <w:r w:rsidRPr="00CC404E">
        <w:rPr>
          <w:rFonts w:cstheme="minorHAnsi"/>
          <w:szCs w:val="22"/>
        </w:rPr>
        <w:t xml:space="preserve"> to the Board.</w:t>
      </w:r>
    </w:p>
    <w:p w14:paraId="7B5CA5DE" w14:textId="77777777" w:rsidR="00F657C4" w:rsidRDefault="00F657C4" w:rsidP="00F657C4">
      <w:pPr>
        <w:tabs>
          <w:tab w:val="left" w:pos="540"/>
          <w:tab w:val="left" w:pos="1560"/>
          <w:tab w:val="left" w:pos="1985"/>
          <w:tab w:val="left" w:pos="14220"/>
        </w:tabs>
        <w:spacing w:line="360" w:lineRule="auto"/>
        <w:contextualSpacing/>
        <w:jc w:val="both"/>
        <w:rPr>
          <w:rFonts w:cstheme="minorHAnsi"/>
          <w:i/>
          <w:color w:val="000000"/>
          <w:szCs w:val="22"/>
        </w:rPr>
      </w:pPr>
    </w:p>
    <w:p w14:paraId="36561081" w14:textId="77777777" w:rsidR="003D5A58" w:rsidRDefault="003D5A58" w:rsidP="00F657C4">
      <w:pPr>
        <w:tabs>
          <w:tab w:val="left" w:pos="540"/>
          <w:tab w:val="left" w:pos="1560"/>
          <w:tab w:val="left" w:pos="1985"/>
          <w:tab w:val="left" w:pos="14220"/>
        </w:tabs>
        <w:spacing w:line="360" w:lineRule="auto"/>
        <w:contextualSpacing/>
        <w:jc w:val="both"/>
        <w:rPr>
          <w:rFonts w:cstheme="minorHAnsi"/>
          <w:i/>
          <w:color w:val="000000"/>
          <w:szCs w:val="22"/>
        </w:rPr>
      </w:pPr>
    </w:p>
    <w:p w14:paraId="1EC3EED2" w14:textId="77777777" w:rsidR="003D5A58" w:rsidRDefault="003D5A58" w:rsidP="00F657C4">
      <w:pPr>
        <w:tabs>
          <w:tab w:val="left" w:pos="540"/>
          <w:tab w:val="left" w:pos="1560"/>
          <w:tab w:val="left" w:pos="1985"/>
          <w:tab w:val="left" w:pos="14220"/>
        </w:tabs>
        <w:spacing w:line="360" w:lineRule="auto"/>
        <w:contextualSpacing/>
        <w:jc w:val="both"/>
        <w:rPr>
          <w:rFonts w:cstheme="minorHAnsi"/>
          <w:i/>
          <w:color w:val="000000"/>
          <w:szCs w:val="22"/>
        </w:rPr>
      </w:pPr>
    </w:p>
    <w:p w14:paraId="5DADAC7A" w14:textId="77777777" w:rsidR="003D5A58" w:rsidRDefault="003D5A58" w:rsidP="00F657C4">
      <w:pPr>
        <w:tabs>
          <w:tab w:val="left" w:pos="540"/>
          <w:tab w:val="left" w:pos="1560"/>
          <w:tab w:val="left" w:pos="1985"/>
          <w:tab w:val="left" w:pos="14220"/>
        </w:tabs>
        <w:spacing w:line="360" w:lineRule="auto"/>
        <w:contextualSpacing/>
        <w:jc w:val="both"/>
        <w:rPr>
          <w:rFonts w:cstheme="minorHAnsi"/>
          <w:i/>
          <w:color w:val="000000"/>
          <w:szCs w:val="22"/>
        </w:rPr>
      </w:pPr>
    </w:p>
    <w:p w14:paraId="2C541F13" w14:textId="77777777" w:rsidR="00F657C4" w:rsidRPr="00CC404E" w:rsidRDefault="00F657C4" w:rsidP="00F657C4">
      <w:pPr>
        <w:tabs>
          <w:tab w:val="left" w:pos="540"/>
          <w:tab w:val="left" w:pos="1560"/>
          <w:tab w:val="left" w:pos="1985"/>
          <w:tab w:val="left" w:pos="14220"/>
        </w:tabs>
        <w:spacing w:line="360" w:lineRule="auto"/>
        <w:contextualSpacing/>
        <w:jc w:val="both"/>
        <w:rPr>
          <w:rFonts w:eastAsiaTheme="majorEastAsia" w:cstheme="minorHAnsi"/>
          <w:szCs w:val="22"/>
          <w:lang w:eastAsia="en-US"/>
        </w:rPr>
      </w:pPr>
      <w:r w:rsidRPr="00CC404E">
        <w:rPr>
          <w:rFonts w:cstheme="minorHAnsi"/>
          <w:i/>
          <w:color w:val="000000"/>
          <w:szCs w:val="22"/>
        </w:rPr>
        <w:t xml:space="preserve">Approved by the General Assembly on </w:t>
      </w:r>
      <w:r>
        <w:rPr>
          <w:rFonts w:cstheme="minorHAnsi"/>
          <w:i/>
          <w:color w:val="000000"/>
          <w:szCs w:val="22"/>
        </w:rPr>
        <w:t>22 September 2017</w:t>
      </w:r>
    </w:p>
    <w:p w14:paraId="75E038FC" w14:textId="77777777" w:rsidR="00F657C4" w:rsidRPr="00F657C4" w:rsidRDefault="00F657C4" w:rsidP="005A60A5"/>
    <w:sectPr w:rsidR="00F657C4" w:rsidRPr="00F657C4" w:rsidSect="006F7F22">
      <w:headerReference w:type="default" r:id="rId8"/>
      <w:footerReference w:type="default" r:id="rId9"/>
      <w:headerReference w:type="first" r:id="rId10"/>
      <w:footerReference w:type="first" r:id="rId11"/>
      <w:pgSz w:w="11900" w:h="16820"/>
      <w:pgMar w:top="1701" w:right="1418" w:bottom="964" w:left="1701" w:header="708"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D0942B" w14:textId="77777777" w:rsidR="008D23C6" w:rsidRDefault="008D23C6" w:rsidP="00875780">
      <w:r>
        <w:separator/>
      </w:r>
    </w:p>
  </w:endnote>
  <w:endnote w:type="continuationSeparator" w:id="0">
    <w:p w14:paraId="19AD31AD" w14:textId="77777777" w:rsidR="008D23C6" w:rsidRDefault="008D23C6" w:rsidP="00875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panose1 w:val="02020400000000000000"/>
    <w:charset w:val="80"/>
    <w:family w:val="roman"/>
    <w:pitch w:val="variable"/>
    <w:sig w:usb0="800002E7" w:usb1="2AC7FCF0"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F9343" w14:textId="54CC228B" w:rsidR="007C5489" w:rsidRPr="005E6508" w:rsidRDefault="003D5A58" w:rsidP="009E2241">
    <w:pPr>
      <w:pStyle w:val="Footer"/>
      <w:tabs>
        <w:tab w:val="clear" w:pos="4536"/>
        <w:tab w:val="center" w:pos="4253"/>
      </w:tabs>
      <w:ind w:right="360"/>
      <w:rPr>
        <w:i/>
        <w:sz w:val="18"/>
        <w:szCs w:val="18"/>
      </w:rPr>
    </w:pPr>
    <w:r>
      <w:rPr>
        <w:i/>
        <w:sz w:val="18"/>
        <w:szCs w:val="18"/>
      </w:rPr>
      <w:fldChar w:fldCharType="begin"/>
    </w:r>
    <w:r>
      <w:rPr>
        <w:i/>
        <w:sz w:val="18"/>
        <w:szCs w:val="18"/>
      </w:rPr>
      <w:instrText xml:space="preserve"> FILENAME   \* MERGEFORMAT </w:instrText>
    </w:r>
    <w:r>
      <w:rPr>
        <w:i/>
        <w:sz w:val="18"/>
        <w:szCs w:val="18"/>
      </w:rPr>
      <w:fldChar w:fldCharType="separate"/>
    </w:r>
    <w:r>
      <w:rPr>
        <w:i/>
        <w:noProof/>
        <w:sz w:val="18"/>
        <w:szCs w:val="18"/>
      </w:rPr>
      <w:t>AAE Links Board and CommitteeChairs_FINAL</w:t>
    </w:r>
    <w:r>
      <w:rPr>
        <w:i/>
        <w:sz w:val="18"/>
        <w:szCs w:val="18"/>
      </w:rPr>
      <w:fldChar w:fldCharType="end"/>
    </w:r>
    <w:r w:rsidR="007C5489" w:rsidRPr="005E6508">
      <w:rPr>
        <w:i/>
        <w:sz w:val="18"/>
        <w:szCs w:val="18"/>
      </w:rPr>
      <w:tab/>
      <w:t xml:space="preserve">Page </w:t>
    </w:r>
    <w:r w:rsidR="007C5489" w:rsidRPr="005E6508">
      <w:rPr>
        <w:i/>
        <w:sz w:val="18"/>
        <w:szCs w:val="18"/>
      </w:rPr>
      <w:fldChar w:fldCharType="begin"/>
    </w:r>
    <w:r w:rsidR="007C5489" w:rsidRPr="005E6508">
      <w:rPr>
        <w:i/>
        <w:sz w:val="18"/>
        <w:szCs w:val="18"/>
      </w:rPr>
      <w:instrText xml:space="preserve"> PAGE  \* Arabic  \* MERGEFORMAT </w:instrText>
    </w:r>
    <w:r w:rsidR="007C5489" w:rsidRPr="005E6508">
      <w:rPr>
        <w:i/>
        <w:sz w:val="18"/>
        <w:szCs w:val="18"/>
      </w:rPr>
      <w:fldChar w:fldCharType="separate"/>
    </w:r>
    <w:r w:rsidR="00965741">
      <w:rPr>
        <w:i/>
        <w:noProof/>
        <w:sz w:val="18"/>
        <w:szCs w:val="18"/>
      </w:rPr>
      <w:t>2</w:t>
    </w:r>
    <w:r w:rsidR="007C5489" w:rsidRPr="005E6508">
      <w:rPr>
        <w:i/>
        <w:sz w:val="18"/>
        <w:szCs w:val="18"/>
      </w:rPr>
      <w:fldChar w:fldCharType="end"/>
    </w:r>
    <w:r w:rsidR="007C5489" w:rsidRPr="005E6508">
      <w:rPr>
        <w:i/>
        <w:sz w:val="18"/>
        <w:szCs w:val="18"/>
      </w:rPr>
      <w:t xml:space="preserve"> of </w:t>
    </w:r>
    <w:r w:rsidR="007C5489" w:rsidRPr="005E6508">
      <w:rPr>
        <w:i/>
        <w:sz w:val="18"/>
        <w:szCs w:val="18"/>
      </w:rPr>
      <w:fldChar w:fldCharType="begin"/>
    </w:r>
    <w:r w:rsidR="007C5489" w:rsidRPr="005E6508">
      <w:rPr>
        <w:i/>
        <w:sz w:val="18"/>
        <w:szCs w:val="18"/>
      </w:rPr>
      <w:instrText xml:space="preserve"> NUMPAGES  \* Arabic  \* MERGEFORMAT </w:instrText>
    </w:r>
    <w:r w:rsidR="007C5489" w:rsidRPr="005E6508">
      <w:rPr>
        <w:i/>
        <w:sz w:val="18"/>
        <w:szCs w:val="18"/>
      </w:rPr>
      <w:fldChar w:fldCharType="separate"/>
    </w:r>
    <w:r w:rsidR="00965741">
      <w:rPr>
        <w:i/>
        <w:noProof/>
        <w:sz w:val="18"/>
        <w:szCs w:val="18"/>
      </w:rPr>
      <w:t>3</w:t>
    </w:r>
    <w:r w:rsidR="007C5489" w:rsidRPr="005E6508">
      <w:rPr>
        <w:i/>
        <w:noProof/>
        <w:sz w:val="18"/>
        <w:szCs w:val="18"/>
      </w:rPr>
      <w:fldChar w:fldCharType="end"/>
    </w:r>
    <w:r>
      <w:rPr>
        <w:i/>
        <w:sz w:val="18"/>
        <w:szCs w:val="18"/>
      </w:rPr>
      <w:tab/>
      <w:t xml:space="preserve">   22 September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4D22A" w14:textId="0F74E31C" w:rsidR="007C5489" w:rsidRDefault="007C5489" w:rsidP="008643BE">
    <w:pPr>
      <w:pStyle w:val="Footer"/>
      <w:jc w:val="center"/>
    </w:pPr>
    <w:r w:rsidRPr="009B0F83">
      <w:rPr>
        <w:i/>
        <w:sz w:val="16"/>
      </w:rPr>
      <w:t xml:space="preserve">The Actuarial Association of Europe is registered in the EU Transparency Register under number </w:t>
    </w:r>
    <w:r w:rsidRPr="009B0F83">
      <w:rPr>
        <w:rFonts w:cs="Arial"/>
        <w:i/>
        <w:sz w:val="16"/>
      </w:rPr>
      <w:t>550855911144-54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7B297" w14:textId="77777777" w:rsidR="008D23C6" w:rsidRDefault="008D23C6" w:rsidP="00875780">
      <w:r>
        <w:separator/>
      </w:r>
    </w:p>
  </w:footnote>
  <w:footnote w:type="continuationSeparator" w:id="0">
    <w:p w14:paraId="6ECD9A8E" w14:textId="77777777" w:rsidR="008D23C6" w:rsidRDefault="008D23C6" w:rsidP="008757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F8DF2" w14:textId="63F42618" w:rsidR="007C5489" w:rsidRDefault="007C5489">
    <w:pPr>
      <w:pStyle w:val="Header"/>
    </w:pPr>
    <w:r>
      <w:rPr>
        <w:noProof/>
        <w:lang w:val="en-US" w:eastAsia="en-US"/>
      </w:rPr>
      <w:drawing>
        <wp:anchor distT="0" distB="0" distL="114300" distR="114300" simplePos="0" relativeHeight="251658240" behindDoc="1" locked="0" layoutInCell="1" allowOverlap="1" wp14:anchorId="1E9CA2DC" wp14:editId="28665D1B">
          <wp:simplePos x="0" y="0"/>
          <wp:positionH relativeFrom="page">
            <wp:posOffset>0</wp:posOffset>
          </wp:positionH>
          <wp:positionV relativeFrom="page">
            <wp:posOffset>0</wp:posOffset>
          </wp:positionV>
          <wp:extent cx="7556500" cy="10693400"/>
          <wp:effectExtent l="0" t="0" r="1270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06DA9" w14:textId="29972970" w:rsidR="007C5489" w:rsidRDefault="007B6CB4">
    <w:pPr>
      <w:pStyle w:val="Header"/>
    </w:pPr>
    <w:r w:rsidRPr="0023665F">
      <w:rPr>
        <w:noProof/>
        <w:lang w:val="en-US" w:eastAsia="en-US"/>
      </w:rPr>
      <w:drawing>
        <wp:anchor distT="0" distB="0" distL="114300" distR="114300" simplePos="0" relativeHeight="251664384" behindDoc="0" locked="0" layoutInCell="1" allowOverlap="1" wp14:anchorId="7CF9E40E" wp14:editId="677540A7">
          <wp:simplePos x="0" y="0"/>
          <wp:positionH relativeFrom="page">
            <wp:posOffset>4711700</wp:posOffset>
          </wp:positionH>
          <wp:positionV relativeFrom="page">
            <wp:posOffset>584200</wp:posOffset>
          </wp:positionV>
          <wp:extent cx="2404800" cy="1299563"/>
          <wp:effectExtent l="0" t="0" r="8255" b="0"/>
          <wp:wrapNone/>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04800" cy="1299563"/>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7C5489">
      <w:rPr>
        <w:noProof/>
        <w:lang w:val="en-US" w:eastAsia="en-US"/>
      </w:rPr>
      <w:drawing>
        <wp:anchor distT="0" distB="0" distL="114300" distR="114300" simplePos="0" relativeHeight="251663360" behindDoc="1" locked="0" layoutInCell="1" allowOverlap="1" wp14:anchorId="1BA03C98" wp14:editId="271D6D01">
          <wp:simplePos x="0" y="0"/>
          <wp:positionH relativeFrom="page">
            <wp:posOffset>0</wp:posOffset>
          </wp:positionH>
          <wp:positionV relativeFrom="page">
            <wp:posOffset>-10160</wp:posOffset>
          </wp:positionV>
          <wp:extent cx="7556500" cy="10693400"/>
          <wp:effectExtent l="0" t="0" r="12700" b="0"/>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7C5489">
      <w:rPr>
        <w:noProof/>
        <w:lang w:val="en-US" w:eastAsia="en-US"/>
      </w:rPr>
      <w:drawing>
        <wp:anchor distT="0" distB="0" distL="114300" distR="114300" simplePos="0" relativeHeight="251665408" behindDoc="1" locked="0" layoutInCell="1" allowOverlap="1" wp14:anchorId="677E79DE" wp14:editId="466CC1C3">
          <wp:simplePos x="0" y="0"/>
          <wp:positionH relativeFrom="page">
            <wp:posOffset>319405</wp:posOffset>
          </wp:positionH>
          <wp:positionV relativeFrom="paragraph">
            <wp:posOffset>-169545</wp:posOffset>
          </wp:positionV>
          <wp:extent cx="2033905" cy="701040"/>
          <wp:effectExtent l="0" t="0" r="0" b="0"/>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E-logo.eps"/>
                  <pic:cNvPicPr/>
                </pic:nvPicPr>
                <pic:blipFill>
                  <a:blip r:embed="rId3">
                    <a:extLst>
                      <a:ext uri="{28A0092B-C50C-407E-A947-70E740481C1C}">
                        <a14:useLocalDpi xmlns:a14="http://schemas.microsoft.com/office/drawing/2010/main" val="0"/>
                      </a:ext>
                    </a:extLst>
                  </a:blip>
                  <a:stretch>
                    <a:fillRect/>
                  </a:stretch>
                </pic:blipFill>
                <pic:spPr>
                  <a:xfrm>
                    <a:off x="0" y="0"/>
                    <a:ext cx="2033905" cy="7010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73EA6"/>
    <w:multiLevelType w:val="hybridMultilevel"/>
    <w:tmpl w:val="8C04DA8E"/>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nsid w:val="1B8C0636"/>
    <w:multiLevelType w:val="hybridMultilevel"/>
    <w:tmpl w:val="98D001BA"/>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
    <w:nsid w:val="30B6698C"/>
    <w:multiLevelType w:val="hybridMultilevel"/>
    <w:tmpl w:val="ADB0C29E"/>
    <w:lvl w:ilvl="0" w:tplc="AA24AEF2">
      <w:start w:val="1"/>
      <w:numFmt w:val="bullet"/>
      <w:pStyle w:val="Lijst1"/>
      <w:lvlText w:val=""/>
      <w:lvlJc w:val="left"/>
      <w:pPr>
        <w:tabs>
          <w:tab w:val="num" w:pos="567"/>
        </w:tabs>
        <w:ind w:left="567" w:hanging="56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8534C9"/>
    <w:multiLevelType w:val="hybridMultilevel"/>
    <w:tmpl w:val="8E5AB1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64182B76"/>
    <w:multiLevelType w:val="hybridMultilevel"/>
    <w:tmpl w:val="0A2A2750"/>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2"/>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2CD"/>
    <w:rsid w:val="00071E1B"/>
    <w:rsid w:val="000A44AE"/>
    <w:rsid w:val="000A5756"/>
    <w:rsid w:val="000B34B9"/>
    <w:rsid w:val="0023665F"/>
    <w:rsid w:val="00260A0B"/>
    <w:rsid w:val="002C0953"/>
    <w:rsid w:val="002C75C8"/>
    <w:rsid w:val="003237A9"/>
    <w:rsid w:val="00375620"/>
    <w:rsid w:val="003C48AC"/>
    <w:rsid w:val="003D5A58"/>
    <w:rsid w:val="003E266E"/>
    <w:rsid w:val="00407562"/>
    <w:rsid w:val="00526738"/>
    <w:rsid w:val="005518CA"/>
    <w:rsid w:val="005665AA"/>
    <w:rsid w:val="005A60A5"/>
    <w:rsid w:val="005E6508"/>
    <w:rsid w:val="00620A03"/>
    <w:rsid w:val="006402CD"/>
    <w:rsid w:val="0066081D"/>
    <w:rsid w:val="006F7F22"/>
    <w:rsid w:val="007A0B2C"/>
    <w:rsid w:val="007B6CB4"/>
    <w:rsid w:val="007C5489"/>
    <w:rsid w:val="008051F0"/>
    <w:rsid w:val="008643BE"/>
    <w:rsid w:val="00875780"/>
    <w:rsid w:val="008C338A"/>
    <w:rsid w:val="008D23C6"/>
    <w:rsid w:val="00925EE2"/>
    <w:rsid w:val="00965741"/>
    <w:rsid w:val="00976774"/>
    <w:rsid w:val="00985A4B"/>
    <w:rsid w:val="00987761"/>
    <w:rsid w:val="009B0F83"/>
    <w:rsid w:val="009E2241"/>
    <w:rsid w:val="009F258B"/>
    <w:rsid w:val="00AA3223"/>
    <w:rsid w:val="00AF6616"/>
    <w:rsid w:val="00B4463A"/>
    <w:rsid w:val="00B52F55"/>
    <w:rsid w:val="00B55E02"/>
    <w:rsid w:val="00BF5A2B"/>
    <w:rsid w:val="00C30B99"/>
    <w:rsid w:val="00C317D1"/>
    <w:rsid w:val="00C64762"/>
    <w:rsid w:val="00CC21FB"/>
    <w:rsid w:val="00D24709"/>
    <w:rsid w:val="00D6008F"/>
    <w:rsid w:val="00DA0A39"/>
    <w:rsid w:val="00DB0D0A"/>
    <w:rsid w:val="00DC0FC1"/>
    <w:rsid w:val="00E42ABC"/>
    <w:rsid w:val="00E830D6"/>
    <w:rsid w:val="00EC5201"/>
    <w:rsid w:val="00F65055"/>
    <w:rsid w:val="00F657C4"/>
    <w:rsid w:val="00F72507"/>
    <w:rsid w:val="00F84C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BF423B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GB"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761"/>
    <w:pPr>
      <w:spacing w:line="280" w:lineRule="exact"/>
    </w:pPr>
    <w:rPr>
      <w:sz w:val="22"/>
    </w:rPr>
  </w:style>
  <w:style w:type="paragraph" w:styleId="Heading1">
    <w:name w:val="heading 1"/>
    <w:basedOn w:val="Normal"/>
    <w:next w:val="Normal"/>
    <w:link w:val="Heading1Char"/>
    <w:uiPriority w:val="9"/>
    <w:qFormat/>
    <w:rsid w:val="00407562"/>
    <w:pPr>
      <w:widowControl w:val="0"/>
      <w:suppressAutoHyphens/>
      <w:spacing w:after="280"/>
      <w:jc w:val="both"/>
      <w:outlineLvl w:val="0"/>
    </w:pPr>
    <w:rPr>
      <w:rFonts w:eastAsia="Arial Unicode MS" w:cs="Arial Unicode MS"/>
      <w:b/>
      <w:bCs/>
      <w:caps/>
      <w:color w:val="1D79AF"/>
      <w:spacing w:val="8"/>
      <w:kern w:val="24"/>
      <w:sz w:val="26"/>
      <w:lang w:val="nl-NL" w:eastAsia="hi-IN" w:bidi="hi-IN"/>
    </w:rPr>
  </w:style>
  <w:style w:type="paragraph" w:styleId="Heading2">
    <w:name w:val="heading 2"/>
    <w:basedOn w:val="Normal"/>
    <w:next w:val="Normal"/>
    <w:link w:val="Heading2Char"/>
    <w:uiPriority w:val="9"/>
    <w:unhideWhenUsed/>
    <w:qFormat/>
    <w:rsid w:val="00407562"/>
    <w:pPr>
      <w:widowControl w:val="0"/>
      <w:suppressAutoHyphens/>
      <w:jc w:val="both"/>
      <w:outlineLvl w:val="1"/>
    </w:pPr>
    <w:rPr>
      <w:rFonts w:eastAsia="Arial Unicode MS" w:cs="Arial Unicode MS"/>
      <w:b/>
      <w:color w:val="0B3D53" w:themeColor="text1"/>
      <w:kern w:val="1"/>
      <w:sz w:val="23"/>
      <w:lang w:val="en-US" w:eastAsia="hi-IN" w:bidi="hi-IN"/>
    </w:rPr>
  </w:style>
  <w:style w:type="paragraph" w:styleId="Heading4">
    <w:name w:val="heading 4"/>
    <w:aliases w:val="voorwoord"/>
    <w:basedOn w:val="TOCHeading"/>
    <w:next w:val="Normal"/>
    <w:link w:val="Heading4Char"/>
    <w:semiHidden/>
    <w:qFormat/>
    <w:rsid w:val="00F72507"/>
    <w:pPr>
      <w:tabs>
        <w:tab w:val="left" w:pos="567"/>
      </w:tabs>
      <w:spacing w:beforeAutospacing="1" w:after="100" w:afterAutospacing="1" w:line="276" w:lineRule="auto"/>
      <w:outlineLvl w:val="3"/>
    </w:pPr>
    <w:rPr>
      <w:rFonts w:ascii="Verdana" w:eastAsia="MS Gothic" w:hAnsi="Verdana" w:cs="Times New Roman"/>
      <w:bCs w:val="0"/>
      <w:color w:val="842A2B" w:themeColor="accent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voorwoord Char"/>
    <w:basedOn w:val="DefaultParagraphFont"/>
    <w:link w:val="Heading4"/>
    <w:semiHidden/>
    <w:rsid w:val="00F72507"/>
    <w:rPr>
      <w:rFonts w:ascii="Verdana" w:eastAsia="MS Gothic" w:hAnsi="Verdana" w:cs="Times New Roman"/>
      <w:b/>
      <w:color w:val="842A2B" w:themeColor="accent2"/>
      <w:sz w:val="32"/>
      <w:szCs w:val="28"/>
    </w:rPr>
  </w:style>
  <w:style w:type="character" w:customStyle="1" w:styleId="Heading1Char">
    <w:name w:val="Heading 1 Char"/>
    <w:basedOn w:val="DefaultParagraphFont"/>
    <w:link w:val="Heading1"/>
    <w:uiPriority w:val="9"/>
    <w:rsid w:val="00407562"/>
    <w:rPr>
      <w:rFonts w:eastAsia="Arial Unicode MS" w:cs="Arial Unicode MS"/>
      <w:b/>
      <w:bCs/>
      <w:caps/>
      <w:color w:val="1D79AF"/>
      <w:spacing w:val="8"/>
      <w:kern w:val="24"/>
      <w:sz w:val="26"/>
      <w:lang w:val="nl-NL" w:eastAsia="hi-IN" w:bidi="hi-IN"/>
    </w:rPr>
  </w:style>
  <w:style w:type="paragraph" w:styleId="TOCHeading">
    <w:name w:val="TOC Heading"/>
    <w:basedOn w:val="Heading1"/>
    <w:next w:val="Normal"/>
    <w:uiPriority w:val="39"/>
    <w:semiHidden/>
    <w:unhideWhenUsed/>
    <w:qFormat/>
    <w:rsid w:val="00F72507"/>
    <w:pPr>
      <w:outlineLvl w:val="9"/>
    </w:pPr>
  </w:style>
  <w:style w:type="paragraph" w:customStyle="1" w:styleId="Lijst1">
    <w:name w:val="Lijst1"/>
    <w:basedOn w:val="ListParagraph"/>
    <w:qFormat/>
    <w:rsid w:val="00987761"/>
    <w:pPr>
      <w:numPr>
        <w:numId w:val="2"/>
      </w:numPr>
      <w:tabs>
        <w:tab w:val="left" w:pos="227"/>
      </w:tabs>
      <w:ind w:left="227" w:hanging="227"/>
    </w:pPr>
    <w:rPr>
      <w:rFonts w:eastAsia="Times New Roman" w:cs="Times New Roman"/>
      <w:szCs w:val="21"/>
      <w:lang w:val="nl-NL"/>
    </w:rPr>
  </w:style>
  <w:style w:type="paragraph" w:styleId="ListParagraph">
    <w:name w:val="List Paragraph"/>
    <w:basedOn w:val="Normal"/>
    <w:uiPriority w:val="34"/>
    <w:qFormat/>
    <w:rsid w:val="00620A03"/>
    <w:pPr>
      <w:ind w:left="720"/>
      <w:contextualSpacing/>
    </w:pPr>
  </w:style>
  <w:style w:type="paragraph" w:styleId="BalloonText">
    <w:name w:val="Balloon Text"/>
    <w:basedOn w:val="Normal"/>
    <w:link w:val="BalloonTextChar"/>
    <w:uiPriority w:val="99"/>
    <w:semiHidden/>
    <w:unhideWhenUsed/>
    <w:rsid w:val="008051F0"/>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8051F0"/>
    <w:rPr>
      <w:rFonts w:ascii="Lucida Grande" w:hAnsi="Lucida Grande" w:cs="Lucida Grande"/>
      <w:color w:val="DAE6EB" w:themeColor="background1"/>
      <w:sz w:val="18"/>
      <w:szCs w:val="18"/>
    </w:rPr>
  </w:style>
  <w:style w:type="paragraph" w:styleId="Header">
    <w:name w:val="header"/>
    <w:aliases w:val="HEADER"/>
    <w:basedOn w:val="Normal"/>
    <w:link w:val="HeaderChar"/>
    <w:uiPriority w:val="99"/>
    <w:unhideWhenUsed/>
    <w:rsid w:val="00875780"/>
    <w:pPr>
      <w:tabs>
        <w:tab w:val="center" w:pos="4536"/>
        <w:tab w:val="right" w:pos="9072"/>
      </w:tabs>
    </w:pPr>
  </w:style>
  <w:style w:type="character" w:customStyle="1" w:styleId="HeaderChar">
    <w:name w:val="Header Char"/>
    <w:aliases w:val="HEADER Char"/>
    <w:basedOn w:val="DefaultParagraphFont"/>
    <w:link w:val="Header"/>
    <w:uiPriority w:val="99"/>
    <w:rsid w:val="00875780"/>
    <w:rPr>
      <w:rFonts w:ascii="Arial Narrow" w:hAnsi="Arial Narrow"/>
      <w:color w:val="DAE6EB" w:themeColor="background1"/>
      <w:sz w:val="18"/>
    </w:rPr>
  </w:style>
  <w:style w:type="paragraph" w:styleId="Footer">
    <w:name w:val="footer"/>
    <w:aliases w:val="FOOTER"/>
    <w:basedOn w:val="Normal"/>
    <w:link w:val="FooterChar"/>
    <w:uiPriority w:val="99"/>
    <w:unhideWhenUsed/>
    <w:rsid w:val="00875780"/>
    <w:pPr>
      <w:tabs>
        <w:tab w:val="center" w:pos="4536"/>
        <w:tab w:val="right" w:pos="9072"/>
      </w:tabs>
    </w:pPr>
  </w:style>
  <w:style w:type="character" w:customStyle="1" w:styleId="FooterChar">
    <w:name w:val="Footer Char"/>
    <w:aliases w:val="FOOTER Char"/>
    <w:basedOn w:val="DefaultParagraphFont"/>
    <w:link w:val="Footer"/>
    <w:uiPriority w:val="99"/>
    <w:rsid w:val="00875780"/>
    <w:rPr>
      <w:rFonts w:ascii="Arial Narrow" w:hAnsi="Arial Narrow"/>
      <w:color w:val="DAE6EB" w:themeColor="background1"/>
      <w:sz w:val="18"/>
    </w:rPr>
  </w:style>
  <w:style w:type="paragraph" w:customStyle="1" w:styleId="Italic">
    <w:name w:val="Italic"/>
    <w:basedOn w:val="Normal"/>
    <w:qFormat/>
    <w:rsid w:val="00987761"/>
    <w:pPr>
      <w:widowControl w:val="0"/>
      <w:suppressAutoHyphens/>
      <w:spacing w:after="280"/>
    </w:pPr>
    <w:rPr>
      <w:rFonts w:eastAsia="Arial Unicode MS" w:cs="Arial Unicode MS"/>
      <w:i/>
      <w:kern w:val="1"/>
      <w:lang w:eastAsia="hi-IN" w:bidi="hi-IN"/>
    </w:rPr>
  </w:style>
  <w:style w:type="paragraph" w:customStyle="1" w:styleId="DateandRecipient">
    <w:name w:val="Date and Recipient"/>
    <w:basedOn w:val="Normal"/>
    <w:rsid w:val="00E830D6"/>
    <w:pPr>
      <w:spacing w:before="600" w:line="240" w:lineRule="auto"/>
    </w:pPr>
    <w:rPr>
      <w:color w:val="000000"/>
      <w:szCs w:val="22"/>
      <w:lang w:val="nb-NO" w:eastAsia="en-US"/>
    </w:rPr>
  </w:style>
  <w:style w:type="character" w:customStyle="1" w:styleId="Heading2Char">
    <w:name w:val="Heading 2 Char"/>
    <w:basedOn w:val="DefaultParagraphFont"/>
    <w:link w:val="Heading2"/>
    <w:uiPriority w:val="9"/>
    <w:rsid w:val="00407562"/>
    <w:rPr>
      <w:rFonts w:eastAsia="Arial Unicode MS" w:cs="Arial Unicode MS"/>
      <w:b/>
      <w:color w:val="0B3D53" w:themeColor="text1"/>
      <w:kern w:val="1"/>
      <w:sz w:val="23"/>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AAE-3">
  <a:themeElements>
    <a:clrScheme name="AAE-3">
      <a:dk1>
        <a:srgbClr val="0B3D53"/>
      </a:dk1>
      <a:lt1>
        <a:srgbClr val="DAE6EB"/>
      </a:lt1>
      <a:dk2>
        <a:srgbClr val="C8BE9F"/>
      </a:dk2>
      <a:lt2>
        <a:srgbClr val="ECE8DC"/>
      </a:lt2>
      <a:accent1>
        <a:srgbClr val="007BBA"/>
      </a:accent1>
      <a:accent2>
        <a:srgbClr val="842A2B"/>
      </a:accent2>
      <a:accent3>
        <a:srgbClr val="CFB312"/>
      </a:accent3>
      <a:accent4>
        <a:srgbClr val="055849"/>
      </a:accent4>
      <a:accent5>
        <a:srgbClr val="006C92"/>
      </a:accent5>
      <a:accent6>
        <a:srgbClr val="A02B7C"/>
      </a:accent6>
      <a:hlink>
        <a:srgbClr val="007BBA"/>
      </a:hlink>
      <a:folHlink>
        <a:srgbClr val="007BBA"/>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 xmlns:a14="http://schemas.microsoft.com/office/drawing/2010/main">
              <a:effectLst>
                <a:outerShdw blurRad="63500" dist="38099" dir="2700000" algn="ctr" rotWithShape="0">
                  <a:schemeClr val="bg2">
                    <a:alpha val="74998"/>
                  </a:schemeClr>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Times" charset="0"/>
            <a:ea typeface="ＭＳ Ｐゴシック"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 xmlns:a14="http://schemas.microsoft.com/office/drawing/2010/main">
              <a:effectLst>
                <a:outerShdw blurRad="63500" dist="38099" dir="2700000" algn="ctr" rotWithShape="0">
                  <a:schemeClr val="bg2">
                    <a:alpha val="74998"/>
                  </a:schemeClr>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en-US" sz="2400" b="0" i="0" u="none" strike="noStrike" cap="none" normalizeH="0" baseline="0">
            <a:ln>
              <a:noFill/>
            </a:ln>
            <a:solidFill>
              <a:schemeClr val="tx1"/>
            </a:solidFill>
            <a:effectLst/>
            <a:latin typeface="Times" charset="0"/>
            <a:ea typeface="ＭＳ Ｐゴシック" charset="0"/>
          </a:defRPr>
        </a:defPPr>
      </a:lstStyle>
    </a:lnDef>
  </a:objectDefaults>
  <a:extraClrSchemeLst>
    <a:extraClrScheme>
      <a:clrScheme name="HN-pp-template 1">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HN-pp-template 2">
        <a:dk1>
          <a:srgbClr val="0E4133"/>
        </a:dk1>
        <a:lt1>
          <a:srgbClr val="FFFFFF"/>
        </a:lt1>
        <a:dk2>
          <a:srgbClr val="93B82B"/>
        </a:dk2>
        <a:lt2>
          <a:srgbClr val="9F9F9F"/>
        </a:lt2>
        <a:accent1>
          <a:srgbClr val="E4E4E4"/>
        </a:accent1>
        <a:accent2>
          <a:srgbClr val="B6CB90"/>
        </a:accent2>
        <a:accent3>
          <a:srgbClr val="FFFFFF"/>
        </a:accent3>
        <a:accent4>
          <a:srgbClr val="0A362A"/>
        </a:accent4>
        <a:accent5>
          <a:srgbClr val="EFEFEF"/>
        </a:accent5>
        <a:accent6>
          <a:srgbClr val="A5B882"/>
        </a:accent6>
        <a:hlink>
          <a:srgbClr val="93B82B"/>
        </a:hlink>
        <a:folHlink>
          <a:srgbClr val="A46322"/>
        </a:folHlink>
      </a:clrScheme>
      <a:clrMap bg1="lt1" tx1="dk1" bg2="lt2" tx2="dk2" accent1="accent1" accent2="accent2" accent3="accent3" accent4="accent4" accent5="accent5" accent6="accent6" hlink="hlink" folHlink="folHlink"/>
    </a:extraClrScheme>
    <a:extraClrScheme>
      <a:clrScheme name="HN-pp-template 3">
        <a:dk1>
          <a:srgbClr val="0E4133"/>
        </a:dk1>
        <a:lt1>
          <a:srgbClr val="FFFFFF"/>
        </a:lt1>
        <a:dk2>
          <a:srgbClr val="D06000"/>
        </a:dk2>
        <a:lt2>
          <a:srgbClr val="9F9F9F"/>
        </a:lt2>
        <a:accent1>
          <a:srgbClr val="E4E4E4"/>
        </a:accent1>
        <a:accent2>
          <a:srgbClr val="B6CB90"/>
        </a:accent2>
        <a:accent3>
          <a:srgbClr val="FFFFFF"/>
        </a:accent3>
        <a:accent4>
          <a:srgbClr val="0A362A"/>
        </a:accent4>
        <a:accent5>
          <a:srgbClr val="EFEFEF"/>
        </a:accent5>
        <a:accent6>
          <a:srgbClr val="A5B882"/>
        </a:accent6>
        <a:hlink>
          <a:srgbClr val="93B82B"/>
        </a:hlink>
        <a:folHlink>
          <a:srgbClr val="A4632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33001-D5CE-4261-9971-2D90CD658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591</Words>
  <Characters>3372</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VandenAkker Ontwerp</Company>
  <LinksUpToDate>false</LinksUpToDate>
  <CharactersWithSpaces>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van den Akker</dc:creator>
  <cp:keywords/>
  <dc:description/>
  <cp:lastModifiedBy>Monique Schuilenburg</cp:lastModifiedBy>
  <cp:revision>2</cp:revision>
  <cp:lastPrinted>2017-08-29T10:56:00Z</cp:lastPrinted>
  <dcterms:created xsi:type="dcterms:W3CDTF">2017-10-25T12:06:00Z</dcterms:created>
  <dcterms:modified xsi:type="dcterms:W3CDTF">2017-10-25T12:06:00Z</dcterms:modified>
</cp:coreProperties>
</file>